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939" w:rsidRPr="00112D8D" w:rsidRDefault="00AA6939" w:rsidP="00E601D4">
      <w:pPr>
        <w:pStyle w:val="Heading1"/>
        <w:jc w:val="center"/>
        <w:rPr>
          <w:rFonts w:eastAsia="Times New Roman"/>
          <w:b w:val="0"/>
        </w:rPr>
      </w:pPr>
      <w:r w:rsidRPr="00112D8D">
        <w:rPr>
          <w:rFonts w:eastAsia="Times New Roman"/>
        </w:rPr>
        <w:t>Roane State Physical Therapist Assistant Program Admission Information</w:t>
      </w:r>
    </w:p>
    <w:p w:rsidR="00AA6939" w:rsidRPr="00112D8D" w:rsidRDefault="00AA6939" w:rsidP="00AA693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A48FB" w:rsidRPr="008A48FB" w:rsidRDefault="008A48FB" w:rsidP="008A48F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1614">
        <w:rPr>
          <w:rFonts w:ascii="Arial" w:eastAsia="Times New Roman" w:hAnsi="Arial" w:cs="Arial"/>
          <w:sz w:val="24"/>
          <w:szCs w:val="24"/>
          <w:u w:val="single"/>
        </w:rPr>
        <w:t>Overview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8A48FB">
        <w:rPr>
          <w:rFonts w:ascii="Arial" w:eastAsia="Times New Roman" w:hAnsi="Arial" w:cs="Arial"/>
          <w:sz w:val="24"/>
          <w:szCs w:val="24"/>
        </w:rPr>
        <w:t xml:space="preserve">The physical therapist assistant (PTA) works under the direction and supervision of a licensed physical therapist </w:t>
      </w:r>
      <w:r w:rsidR="002450DC">
        <w:rPr>
          <w:rFonts w:ascii="Arial" w:eastAsia="Times New Roman" w:hAnsi="Arial" w:cs="Arial"/>
          <w:sz w:val="24"/>
          <w:szCs w:val="24"/>
        </w:rPr>
        <w:t xml:space="preserve">(PT) </w:t>
      </w:r>
      <w:r w:rsidRPr="008A48FB">
        <w:rPr>
          <w:rFonts w:ascii="Arial" w:eastAsia="Times New Roman" w:hAnsi="Arial" w:cs="Arial"/>
          <w:sz w:val="24"/>
          <w:szCs w:val="24"/>
        </w:rPr>
        <w:t xml:space="preserve">to apply interventions </w:t>
      </w:r>
      <w:r w:rsidR="00921614">
        <w:rPr>
          <w:rFonts w:ascii="Arial" w:eastAsia="Times New Roman" w:hAnsi="Arial" w:cs="Arial"/>
          <w:sz w:val="24"/>
          <w:szCs w:val="24"/>
        </w:rPr>
        <w:t>that</w:t>
      </w:r>
      <w:r w:rsidRPr="008A48FB">
        <w:rPr>
          <w:rFonts w:ascii="Arial" w:eastAsia="Times New Roman" w:hAnsi="Arial" w:cs="Arial"/>
          <w:sz w:val="24"/>
          <w:szCs w:val="24"/>
        </w:rPr>
        <w:t xml:space="preserve"> restore optimal function to individuals impaired by disease or injury. PTAs work with patients that have impairments due to stroke, brain injury, fracture, amputation</w:t>
      </w:r>
      <w:r w:rsidR="00921614">
        <w:rPr>
          <w:rFonts w:ascii="Arial" w:eastAsia="Times New Roman" w:hAnsi="Arial" w:cs="Arial"/>
          <w:sz w:val="24"/>
          <w:szCs w:val="24"/>
        </w:rPr>
        <w:t>,</w:t>
      </w:r>
      <w:r w:rsidRPr="008A48FB">
        <w:rPr>
          <w:rFonts w:ascii="Arial" w:eastAsia="Times New Roman" w:hAnsi="Arial" w:cs="Arial"/>
          <w:sz w:val="24"/>
          <w:szCs w:val="24"/>
        </w:rPr>
        <w:t xml:space="preserve"> and recent surgery.</w:t>
      </w:r>
      <w:r w:rsidR="009B0950">
        <w:rPr>
          <w:rFonts w:ascii="Arial" w:eastAsia="Times New Roman" w:hAnsi="Arial" w:cs="Arial"/>
          <w:sz w:val="24"/>
          <w:szCs w:val="24"/>
        </w:rPr>
        <w:t xml:space="preserve"> Becoming a PTA is not an efficient pathway to becoming a DPT (physical therapist).</w:t>
      </w:r>
    </w:p>
    <w:p w:rsidR="008A48FB" w:rsidRPr="008A48FB" w:rsidRDefault="008A48FB" w:rsidP="008A48F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2566D" w:rsidRPr="00A62AAB" w:rsidRDefault="00A62AAB" w:rsidP="00C2566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62AAB">
        <w:rPr>
          <w:rFonts w:ascii="Arial" w:eastAsia="Times New Roman" w:hAnsi="Arial" w:cs="Arial"/>
          <w:sz w:val="24"/>
          <w:szCs w:val="24"/>
          <w:u w:val="single"/>
        </w:rPr>
        <w:t>Application</w:t>
      </w:r>
      <w:r w:rsidR="00AB3B4D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2B4BF5">
        <w:rPr>
          <w:rFonts w:ascii="Arial" w:eastAsia="Times New Roman" w:hAnsi="Arial" w:cs="Arial"/>
          <w:sz w:val="24"/>
          <w:szCs w:val="24"/>
          <w:u w:val="single"/>
        </w:rPr>
        <w:t xml:space="preserve">and Eligibility </w:t>
      </w:r>
      <w:r w:rsidR="00AB3B4D">
        <w:rPr>
          <w:rFonts w:ascii="Arial" w:eastAsia="Times New Roman" w:hAnsi="Arial" w:cs="Arial"/>
          <w:sz w:val="24"/>
          <w:szCs w:val="24"/>
          <w:u w:val="single"/>
        </w:rPr>
        <w:t>Requirements</w:t>
      </w:r>
      <w:r w:rsidRPr="00A62AAB">
        <w:rPr>
          <w:rFonts w:ascii="Arial" w:eastAsia="Times New Roman" w:hAnsi="Arial" w:cs="Arial"/>
          <w:sz w:val="24"/>
          <w:szCs w:val="24"/>
          <w:u w:val="single"/>
        </w:rPr>
        <w:t xml:space="preserve">: </w:t>
      </w:r>
    </w:p>
    <w:p w:rsidR="00F01DED" w:rsidRPr="00FF67B5" w:rsidRDefault="00A62AAB" w:rsidP="00FF67B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67B5">
        <w:rPr>
          <w:rFonts w:ascii="Arial" w:hAnsi="Arial" w:cs="Arial"/>
          <w:sz w:val="24"/>
          <w:szCs w:val="24"/>
        </w:rPr>
        <w:t>Interested s</w:t>
      </w:r>
      <w:r w:rsidR="00F01DED" w:rsidRPr="00FF67B5">
        <w:rPr>
          <w:rFonts w:ascii="Arial" w:hAnsi="Arial" w:cs="Arial"/>
          <w:sz w:val="24"/>
          <w:szCs w:val="24"/>
        </w:rPr>
        <w:t xml:space="preserve">tudents must </w:t>
      </w:r>
      <w:r w:rsidR="00AB3B4D" w:rsidRPr="00FF67B5">
        <w:rPr>
          <w:rFonts w:ascii="Arial" w:hAnsi="Arial" w:cs="Arial"/>
          <w:sz w:val="24"/>
          <w:szCs w:val="24"/>
        </w:rPr>
        <w:t xml:space="preserve">first </w:t>
      </w:r>
      <w:r w:rsidR="00F01DED" w:rsidRPr="00FF67B5">
        <w:rPr>
          <w:rFonts w:ascii="Arial" w:hAnsi="Arial" w:cs="Arial"/>
          <w:sz w:val="24"/>
          <w:szCs w:val="24"/>
        </w:rPr>
        <w:t>complete the Roane State Admissions process including submission of all previous college transcripts.</w:t>
      </w:r>
    </w:p>
    <w:p w:rsidR="002B4BF5" w:rsidRPr="00FF67B5" w:rsidRDefault="00AB3B4D" w:rsidP="00FF67B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67B5">
        <w:rPr>
          <w:rFonts w:ascii="Arial" w:hAnsi="Arial" w:cs="Arial"/>
          <w:sz w:val="24"/>
          <w:szCs w:val="24"/>
        </w:rPr>
        <w:t>Interested students should attend a virtual group advising session</w:t>
      </w:r>
      <w:r w:rsidR="002B4BF5" w:rsidRPr="00FF67B5">
        <w:rPr>
          <w:rFonts w:ascii="Arial" w:hAnsi="Arial" w:cs="Arial"/>
          <w:sz w:val="24"/>
          <w:szCs w:val="24"/>
        </w:rPr>
        <w:t>.  Dates are on the program’s webpage.</w:t>
      </w:r>
    </w:p>
    <w:p w:rsidR="00A62AAB" w:rsidRPr="00FF67B5" w:rsidRDefault="00F01DED" w:rsidP="00FF67B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67B5">
        <w:rPr>
          <w:rFonts w:ascii="Arial" w:hAnsi="Arial" w:cs="Arial"/>
          <w:sz w:val="24"/>
          <w:szCs w:val="24"/>
        </w:rPr>
        <w:t xml:space="preserve">Students must complete ALL 24 credit hours of required prerequisite courses </w:t>
      </w:r>
      <w:r w:rsidR="00A62AAB" w:rsidRPr="00FF67B5">
        <w:rPr>
          <w:rFonts w:ascii="Arial" w:hAnsi="Arial" w:cs="Arial"/>
          <w:sz w:val="24"/>
          <w:szCs w:val="24"/>
        </w:rPr>
        <w:t>to be eligible.</w:t>
      </w:r>
    </w:p>
    <w:p w:rsidR="00F01DED" w:rsidRPr="00FF67B5" w:rsidRDefault="00A62AAB" w:rsidP="00FF67B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67B5">
        <w:rPr>
          <w:rFonts w:ascii="Arial" w:hAnsi="Arial" w:cs="Arial"/>
          <w:sz w:val="24"/>
          <w:szCs w:val="24"/>
        </w:rPr>
        <w:t xml:space="preserve">Students may apply any time between January </w:t>
      </w:r>
      <w:r w:rsidR="00C9695A">
        <w:rPr>
          <w:rFonts w:ascii="Arial" w:hAnsi="Arial" w:cs="Arial"/>
          <w:sz w:val="24"/>
          <w:szCs w:val="24"/>
        </w:rPr>
        <w:t xml:space="preserve">1 </w:t>
      </w:r>
      <w:r w:rsidRPr="00FF67B5">
        <w:rPr>
          <w:rFonts w:ascii="Arial" w:hAnsi="Arial" w:cs="Arial"/>
          <w:sz w:val="24"/>
          <w:szCs w:val="24"/>
        </w:rPr>
        <w:t xml:space="preserve">and May 15. </w:t>
      </w:r>
      <w:r w:rsidR="00F01DED" w:rsidRPr="00FF67B5">
        <w:rPr>
          <w:rFonts w:ascii="Arial" w:hAnsi="Arial" w:cs="Arial"/>
          <w:sz w:val="24"/>
          <w:szCs w:val="24"/>
        </w:rPr>
        <w:t xml:space="preserve"> </w:t>
      </w:r>
    </w:p>
    <w:p w:rsidR="00C2566D" w:rsidRPr="00FF67B5" w:rsidRDefault="00C2566D" w:rsidP="00FF67B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67B5">
        <w:rPr>
          <w:rFonts w:ascii="Arial" w:hAnsi="Arial" w:cs="Arial"/>
          <w:sz w:val="24"/>
          <w:szCs w:val="24"/>
        </w:rPr>
        <w:t xml:space="preserve">Prerequisite courses </w:t>
      </w:r>
      <w:r w:rsidR="00A62AAB" w:rsidRPr="00FF67B5">
        <w:rPr>
          <w:rFonts w:ascii="Arial" w:hAnsi="Arial" w:cs="Arial"/>
          <w:sz w:val="24"/>
          <w:szCs w:val="24"/>
        </w:rPr>
        <w:t xml:space="preserve">or </w:t>
      </w:r>
      <w:r w:rsidR="00FF67B5">
        <w:rPr>
          <w:rFonts w:ascii="Arial" w:hAnsi="Arial" w:cs="Arial"/>
          <w:sz w:val="24"/>
          <w:szCs w:val="24"/>
        </w:rPr>
        <w:t xml:space="preserve">their </w:t>
      </w:r>
      <w:r w:rsidR="00A62AAB" w:rsidRPr="00FF67B5">
        <w:rPr>
          <w:rFonts w:ascii="Arial" w:hAnsi="Arial" w:cs="Arial"/>
          <w:sz w:val="24"/>
          <w:szCs w:val="24"/>
        </w:rPr>
        <w:t>equivalent</w:t>
      </w:r>
      <w:r w:rsidR="00FF67B5">
        <w:rPr>
          <w:rFonts w:ascii="Arial" w:hAnsi="Arial" w:cs="Arial"/>
          <w:sz w:val="24"/>
          <w:szCs w:val="24"/>
        </w:rPr>
        <w:t>s</w:t>
      </w:r>
      <w:r w:rsidR="00A62AAB" w:rsidRPr="00FF67B5">
        <w:rPr>
          <w:rFonts w:ascii="Arial" w:hAnsi="Arial" w:cs="Arial"/>
          <w:sz w:val="24"/>
          <w:szCs w:val="24"/>
        </w:rPr>
        <w:t xml:space="preserve"> are generally completed the first year, but </w:t>
      </w:r>
      <w:r w:rsidRPr="00FF67B5">
        <w:rPr>
          <w:rFonts w:ascii="Arial" w:hAnsi="Arial" w:cs="Arial"/>
          <w:sz w:val="24"/>
          <w:szCs w:val="24"/>
        </w:rPr>
        <w:t>c</w:t>
      </w:r>
      <w:r w:rsidR="00AF721F" w:rsidRPr="00FF67B5">
        <w:rPr>
          <w:rFonts w:ascii="Arial" w:hAnsi="Arial" w:cs="Arial"/>
          <w:sz w:val="24"/>
          <w:szCs w:val="24"/>
        </w:rPr>
        <w:t xml:space="preserve">an be </w:t>
      </w:r>
      <w:r w:rsidR="006E0DAC" w:rsidRPr="00FF67B5">
        <w:rPr>
          <w:rFonts w:ascii="Arial" w:hAnsi="Arial" w:cs="Arial"/>
          <w:sz w:val="24"/>
          <w:szCs w:val="24"/>
        </w:rPr>
        <w:t xml:space="preserve">completed </w:t>
      </w:r>
      <w:r w:rsidR="00AF721F" w:rsidRPr="00FF67B5">
        <w:rPr>
          <w:rFonts w:ascii="Arial" w:hAnsi="Arial" w:cs="Arial"/>
          <w:sz w:val="24"/>
          <w:szCs w:val="24"/>
        </w:rPr>
        <w:t>at any pace</w:t>
      </w:r>
      <w:r w:rsidR="00C9695A">
        <w:rPr>
          <w:rFonts w:ascii="Arial" w:hAnsi="Arial" w:cs="Arial"/>
          <w:sz w:val="24"/>
          <w:szCs w:val="24"/>
        </w:rPr>
        <w:t xml:space="preserve">, </w:t>
      </w:r>
      <w:r w:rsidRPr="00FF67B5">
        <w:rPr>
          <w:rFonts w:ascii="Arial" w:hAnsi="Arial" w:cs="Arial"/>
          <w:sz w:val="24"/>
          <w:szCs w:val="24"/>
        </w:rPr>
        <w:t xml:space="preserve">at any </w:t>
      </w:r>
      <w:r w:rsidR="00FD4208" w:rsidRPr="00FF67B5">
        <w:rPr>
          <w:rFonts w:ascii="Arial" w:hAnsi="Arial" w:cs="Arial"/>
          <w:sz w:val="24"/>
          <w:szCs w:val="24"/>
        </w:rPr>
        <w:t xml:space="preserve">Roane State </w:t>
      </w:r>
      <w:r w:rsidRPr="00FF67B5">
        <w:rPr>
          <w:rFonts w:ascii="Arial" w:hAnsi="Arial" w:cs="Arial"/>
          <w:sz w:val="24"/>
          <w:szCs w:val="24"/>
        </w:rPr>
        <w:t>campus</w:t>
      </w:r>
      <w:r w:rsidR="00FD4208" w:rsidRPr="00FF67B5">
        <w:rPr>
          <w:rFonts w:ascii="Arial" w:hAnsi="Arial" w:cs="Arial"/>
          <w:sz w:val="24"/>
          <w:szCs w:val="24"/>
        </w:rPr>
        <w:t xml:space="preserve"> or </w:t>
      </w:r>
      <w:r w:rsidR="00C9695A">
        <w:rPr>
          <w:rFonts w:ascii="Arial" w:hAnsi="Arial" w:cs="Arial"/>
          <w:sz w:val="24"/>
          <w:szCs w:val="24"/>
        </w:rPr>
        <w:t xml:space="preserve">at </w:t>
      </w:r>
      <w:r w:rsidR="00A62AAB" w:rsidRPr="00FF67B5">
        <w:rPr>
          <w:rFonts w:ascii="Arial" w:hAnsi="Arial" w:cs="Arial"/>
          <w:sz w:val="24"/>
          <w:szCs w:val="24"/>
        </w:rPr>
        <w:t>an</w:t>
      </w:r>
      <w:r w:rsidR="00FD4208" w:rsidRPr="00FF67B5">
        <w:rPr>
          <w:rFonts w:ascii="Arial" w:hAnsi="Arial" w:cs="Arial"/>
          <w:sz w:val="24"/>
          <w:szCs w:val="24"/>
        </w:rPr>
        <w:t>other accredited institution</w:t>
      </w:r>
      <w:r w:rsidR="00AF721F" w:rsidRPr="00FF67B5">
        <w:rPr>
          <w:rFonts w:ascii="Arial" w:hAnsi="Arial" w:cs="Arial"/>
          <w:sz w:val="24"/>
          <w:szCs w:val="24"/>
        </w:rPr>
        <w:t>.</w:t>
      </w:r>
    </w:p>
    <w:p w:rsidR="002B4BF5" w:rsidRPr="00FF67B5" w:rsidRDefault="002B4BF5" w:rsidP="00FF67B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67B5">
        <w:rPr>
          <w:rFonts w:ascii="Arial" w:hAnsi="Arial" w:cs="Arial"/>
          <w:sz w:val="24"/>
          <w:szCs w:val="24"/>
        </w:rPr>
        <w:t>Students are required to complete 12 hours of observation under the supervision of a PT or PTA to be eligible.  This is a required assignment for students enrolled in PTAT</w:t>
      </w:r>
      <w:r w:rsidR="00C9695A">
        <w:rPr>
          <w:rFonts w:ascii="Arial" w:hAnsi="Arial" w:cs="Arial"/>
          <w:sz w:val="24"/>
          <w:szCs w:val="24"/>
        </w:rPr>
        <w:t xml:space="preserve"> </w:t>
      </w:r>
      <w:r w:rsidRPr="00FF67B5">
        <w:rPr>
          <w:rFonts w:ascii="Arial" w:hAnsi="Arial" w:cs="Arial"/>
          <w:sz w:val="24"/>
          <w:szCs w:val="24"/>
        </w:rPr>
        <w:t xml:space="preserve">2200-Introduction to Physical Therapy. </w:t>
      </w:r>
    </w:p>
    <w:p w:rsidR="002B4BF5" w:rsidRPr="00FF67B5" w:rsidRDefault="002B4BF5" w:rsidP="00FF67B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67B5">
        <w:rPr>
          <w:rFonts w:ascii="Arial" w:hAnsi="Arial" w:cs="Arial"/>
          <w:sz w:val="24"/>
          <w:szCs w:val="24"/>
        </w:rPr>
        <w:t>A work verification/ performance evaluation form is provided for those applicants who have worked as a physical therapy aid or technician for at least one year in lieu of the required observation hours (available on the PTA web area</w:t>
      </w:r>
      <w:r w:rsidR="008713D1" w:rsidRPr="00FF67B5">
        <w:rPr>
          <w:rFonts w:ascii="Arial" w:hAnsi="Arial" w:cs="Arial"/>
          <w:sz w:val="24"/>
          <w:szCs w:val="24"/>
        </w:rPr>
        <w:t>). The</w:t>
      </w:r>
      <w:r w:rsidRPr="00FF67B5">
        <w:rPr>
          <w:rFonts w:ascii="Arial" w:hAnsi="Arial" w:cs="Arial"/>
          <w:sz w:val="24"/>
          <w:szCs w:val="24"/>
        </w:rPr>
        <w:t xml:space="preserve"> Work Verification form should be sent directly from the student’s supervisor</w:t>
      </w:r>
      <w:r w:rsidR="008713D1">
        <w:rPr>
          <w:rFonts w:ascii="Arial" w:hAnsi="Arial" w:cs="Arial"/>
          <w:sz w:val="24"/>
          <w:szCs w:val="24"/>
        </w:rPr>
        <w:t xml:space="preserve"> to the PTA Program Director</w:t>
      </w:r>
      <w:r w:rsidRPr="00FF67B5">
        <w:rPr>
          <w:rFonts w:ascii="Arial" w:hAnsi="Arial" w:cs="Arial"/>
          <w:sz w:val="24"/>
          <w:szCs w:val="24"/>
        </w:rPr>
        <w:t>.</w:t>
      </w:r>
      <w:r w:rsidR="008713D1">
        <w:rPr>
          <w:rFonts w:ascii="Arial" w:hAnsi="Arial" w:cs="Arial"/>
          <w:sz w:val="24"/>
          <w:szCs w:val="24"/>
        </w:rPr>
        <w:t xml:space="preserve"> Working as a technician or aid is NOT required for admission. Observation evaluations and work </w:t>
      </w:r>
      <w:r w:rsidR="00C9695A">
        <w:rPr>
          <w:rFonts w:ascii="Arial" w:hAnsi="Arial" w:cs="Arial"/>
          <w:sz w:val="24"/>
          <w:szCs w:val="24"/>
        </w:rPr>
        <w:t xml:space="preserve">evaluation </w:t>
      </w:r>
      <w:r w:rsidR="008713D1">
        <w:rPr>
          <w:rFonts w:ascii="Arial" w:hAnsi="Arial" w:cs="Arial"/>
          <w:sz w:val="24"/>
          <w:szCs w:val="24"/>
        </w:rPr>
        <w:t xml:space="preserve">forms expire after 3 years. </w:t>
      </w:r>
    </w:p>
    <w:p w:rsidR="00FF67B5" w:rsidRPr="00FF67B5" w:rsidRDefault="00FF67B5" w:rsidP="00FF67B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67B5">
        <w:rPr>
          <w:rFonts w:ascii="Arial" w:hAnsi="Arial" w:cs="Arial"/>
          <w:sz w:val="24"/>
          <w:szCs w:val="24"/>
        </w:rPr>
        <w:t xml:space="preserve">Students transferring credit for the </w:t>
      </w:r>
      <w:r w:rsidRPr="00C9695A">
        <w:rPr>
          <w:rFonts w:ascii="Arial" w:hAnsi="Arial" w:cs="Arial"/>
          <w:b/>
          <w:sz w:val="24"/>
          <w:szCs w:val="24"/>
        </w:rPr>
        <w:t>spring</w:t>
      </w:r>
      <w:r w:rsidRPr="00FF67B5">
        <w:rPr>
          <w:rFonts w:ascii="Arial" w:hAnsi="Arial" w:cs="Arial"/>
          <w:sz w:val="24"/>
          <w:szCs w:val="24"/>
        </w:rPr>
        <w:t xml:space="preserve"> semester from other institutions are also advised to forward transcripts to the PTA program director via email prior to the May 15 deadline.</w:t>
      </w:r>
    </w:p>
    <w:p w:rsidR="00C2566D" w:rsidRPr="00FF67B5" w:rsidRDefault="00C2566D" w:rsidP="00FF67B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67B5">
        <w:rPr>
          <w:rFonts w:ascii="Arial" w:hAnsi="Arial" w:cs="Arial"/>
          <w:sz w:val="24"/>
          <w:szCs w:val="24"/>
        </w:rPr>
        <w:t xml:space="preserve">Students </w:t>
      </w:r>
      <w:r w:rsidR="00F01DED" w:rsidRPr="00FF67B5">
        <w:rPr>
          <w:rFonts w:ascii="Arial" w:hAnsi="Arial" w:cs="Arial"/>
          <w:sz w:val="24"/>
          <w:szCs w:val="24"/>
        </w:rPr>
        <w:t>must</w:t>
      </w:r>
      <w:r w:rsidRPr="00FF67B5">
        <w:rPr>
          <w:rFonts w:ascii="Arial" w:hAnsi="Arial" w:cs="Arial"/>
          <w:sz w:val="24"/>
          <w:szCs w:val="24"/>
        </w:rPr>
        <w:t xml:space="preserve"> complete the Health Science and Nursing Application (through </w:t>
      </w:r>
      <w:proofErr w:type="spellStart"/>
      <w:r w:rsidRPr="00FF67B5">
        <w:rPr>
          <w:rFonts w:ascii="Arial" w:hAnsi="Arial" w:cs="Arial"/>
          <w:sz w:val="24"/>
          <w:szCs w:val="24"/>
        </w:rPr>
        <w:t>RaiderNet</w:t>
      </w:r>
      <w:proofErr w:type="spellEnd"/>
      <w:r w:rsidRPr="00FF67B5">
        <w:rPr>
          <w:rFonts w:ascii="Arial" w:hAnsi="Arial" w:cs="Arial"/>
          <w:sz w:val="24"/>
          <w:szCs w:val="24"/>
        </w:rPr>
        <w:t xml:space="preserve">) </w:t>
      </w:r>
      <w:r w:rsidR="00AB3B4D" w:rsidRPr="00FF67B5">
        <w:rPr>
          <w:rFonts w:ascii="Arial" w:hAnsi="Arial" w:cs="Arial"/>
          <w:sz w:val="24"/>
          <w:szCs w:val="24"/>
        </w:rPr>
        <w:t xml:space="preserve">and </w:t>
      </w:r>
      <w:r w:rsidRPr="00FF67B5">
        <w:rPr>
          <w:rFonts w:ascii="Arial" w:hAnsi="Arial" w:cs="Arial"/>
          <w:sz w:val="24"/>
          <w:szCs w:val="24"/>
        </w:rPr>
        <w:t>select PTA prior to the May 15 deadline</w:t>
      </w:r>
      <w:r w:rsidR="00F01DED" w:rsidRPr="00FF67B5">
        <w:rPr>
          <w:rFonts w:ascii="Arial" w:hAnsi="Arial" w:cs="Arial"/>
          <w:sz w:val="24"/>
          <w:szCs w:val="24"/>
        </w:rPr>
        <w:t>.  Applications received after May 15 are not considered</w:t>
      </w:r>
      <w:r w:rsidR="001C7C35" w:rsidRPr="00FF67B5">
        <w:rPr>
          <w:rFonts w:ascii="Arial" w:hAnsi="Arial" w:cs="Arial"/>
          <w:sz w:val="24"/>
          <w:szCs w:val="24"/>
        </w:rPr>
        <w:t>.</w:t>
      </w:r>
      <w:r w:rsidR="008713D1">
        <w:rPr>
          <w:rFonts w:ascii="Arial" w:hAnsi="Arial" w:cs="Arial"/>
          <w:sz w:val="24"/>
          <w:szCs w:val="24"/>
        </w:rPr>
        <w:t xml:space="preserve"> </w:t>
      </w:r>
    </w:p>
    <w:p w:rsidR="002B4BF5" w:rsidRPr="00FF67B5" w:rsidRDefault="002B4BF5" w:rsidP="00FF67B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67B5">
        <w:rPr>
          <w:rFonts w:ascii="Arial" w:hAnsi="Arial" w:cs="Arial"/>
          <w:sz w:val="24"/>
          <w:szCs w:val="24"/>
        </w:rPr>
        <w:t>Applicants are ranked using a published Point System.  Applicants who have worked as a physical therapy aid or technician can achieve on additional point to the application.</w:t>
      </w:r>
    </w:p>
    <w:p w:rsidR="008713D1" w:rsidRPr="00C9695A" w:rsidRDefault="00C2566D" w:rsidP="00C9695A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</w:rPr>
      </w:pPr>
      <w:r w:rsidRPr="00C9695A">
        <w:rPr>
          <w:rFonts w:ascii="Arial" w:hAnsi="Arial" w:cs="Arial"/>
          <w:sz w:val="24"/>
        </w:rPr>
        <w:t xml:space="preserve">The </w:t>
      </w:r>
      <w:r w:rsidR="00741C47" w:rsidRPr="00C9695A">
        <w:rPr>
          <w:rFonts w:ascii="Arial" w:hAnsi="Arial" w:cs="Arial"/>
          <w:sz w:val="24"/>
        </w:rPr>
        <w:t>highest-ranking</w:t>
      </w:r>
      <w:r w:rsidRPr="00C9695A">
        <w:rPr>
          <w:rFonts w:ascii="Arial" w:hAnsi="Arial" w:cs="Arial"/>
          <w:sz w:val="24"/>
        </w:rPr>
        <w:t xml:space="preserve"> </w:t>
      </w:r>
      <w:r w:rsidR="002B4BF5" w:rsidRPr="00C9695A">
        <w:rPr>
          <w:rFonts w:ascii="Arial" w:hAnsi="Arial" w:cs="Arial"/>
          <w:sz w:val="24"/>
        </w:rPr>
        <w:t>applicants</w:t>
      </w:r>
      <w:r w:rsidRPr="00C9695A">
        <w:rPr>
          <w:rFonts w:ascii="Arial" w:hAnsi="Arial" w:cs="Arial"/>
          <w:sz w:val="24"/>
        </w:rPr>
        <w:t xml:space="preserve"> are invited to an interview during summer</w:t>
      </w:r>
      <w:r w:rsidR="00FF67B5" w:rsidRPr="00C9695A">
        <w:rPr>
          <w:rFonts w:ascii="Arial" w:hAnsi="Arial" w:cs="Arial"/>
          <w:sz w:val="24"/>
        </w:rPr>
        <w:t xml:space="preserve">.  Additional points are applied after the interviews, </w:t>
      </w:r>
      <w:r w:rsidRPr="00C9695A">
        <w:rPr>
          <w:rFonts w:ascii="Arial" w:hAnsi="Arial" w:cs="Arial"/>
          <w:sz w:val="24"/>
        </w:rPr>
        <w:t xml:space="preserve">and </w:t>
      </w:r>
      <w:r w:rsidR="002B4BF5" w:rsidRPr="00C9695A">
        <w:rPr>
          <w:rFonts w:ascii="Arial" w:hAnsi="Arial" w:cs="Arial"/>
          <w:sz w:val="24"/>
        </w:rPr>
        <w:t xml:space="preserve">up to </w:t>
      </w:r>
      <w:r w:rsidRPr="00C9695A">
        <w:rPr>
          <w:rFonts w:ascii="Arial" w:hAnsi="Arial" w:cs="Arial"/>
          <w:sz w:val="24"/>
        </w:rPr>
        <w:t>twenty students are accepted into the program</w:t>
      </w:r>
      <w:r w:rsidR="008713D1" w:rsidRPr="00C9695A">
        <w:rPr>
          <w:rFonts w:ascii="Arial" w:hAnsi="Arial" w:cs="Arial"/>
          <w:sz w:val="24"/>
        </w:rPr>
        <w:t xml:space="preserve"> pending approval from the Admissions Committee</w:t>
      </w:r>
      <w:r w:rsidRPr="00C9695A">
        <w:rPr>
          <w:rFonts w:ascii="Arial" w:hAnsi="Arial" w:cs="Arial"/>
          <w:sz w:val="24"/>
        </w:rPr>
        <w:t>.</w:t>
      </w:r>
      <w:r w:rsidR="00FF67B5" w:rsidRPr="00C9695A">
        <w:rPr>
          <w:rFonts w:ascii="Arial" w:hAnsi="Arial" w:cs="Arial"/>
          <w:sz w:val="24"/>
        </w:rPr>
        <w:t xml:space="preserve"> </w:t>
      </w:r>
    </w:p>
    <w:p w:rsidR="008713D1" w:rsidRPr="00C9695A" w:rsidRDefault="00FF67B5" w:rsidP="00C9695A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</w:rPr>
      </w:pPr>
      <w:r w:rsidRPr="00C9695A">
        <w:rPr>
          <w:rFonts w:ascii="Arial" w:hAnsi="Arial" w:cs="Arial"/>
          <w:sz w:val="24"/>
        </w:rPr>
        <w:lastRenderedPageBreak/>
        <w:t xml:space="preserve">Up to 3 alternates </w:t>
      </w:r>
      <w:r w:rsidR="008713D1" w:rsidRPr="00C9695A">
        <w:rPr>
          <w:rFonts w:ascii="Arial" w:hAnsi="Arial" w:cs="Arial"/>
          <w:sz w:val="24"/>
        </w:rPr>
        <w:t xml:space="preserve">may be </w:t>
      </w:r>
      <w:r w:rsidRPr="00C9695A">
        <w:rPr>
          <w:rFonts w:ascii="Arial" w:hAnsi="Arial" w:cs="Arial"/>
          <w:sz w:val="24"/>
        </w:rPr>
        <w:t xml:space="preserve">generally </w:t>
      </w:r>
      <w:r w:rsidR="008713D1" w:rsidRPr="00C9695A">
        <w:rPr>
          <w:rFonts w:ascii="Arial" w:hAnsi="Arial" w:cs="Arial"/>
          <w:sz w:val="24"/>
        </w:rPr>
        <w:t>selected</w:t>
      </w:r>
      <w:r w:rsidRPr="00C9695A">
        <w:rPr>
          <w:rFonts w:ascii="Arial" w:hAnsi="Arial" w:cs="Arial"/>
          <w:sz w:val="24"/>
        </w:rPr>
        <w:t>.</w:t>
      </w:r>
      <w:r w:rsidR="008713D1" w:rsidRPr="00C9695A">
        <w:rPr>
          <w:rFonts w:ascii="Arial" w:hAnsi="Arial" w:cs="Arial"/>
          <w:sz w:val="24"/>
        </w:rPr>
        <w:t xml:space="preserve"> </w:t>
      </w:r>
    </w:p>
    <w:p w:rsidR="008713D1" w:rsidRPr="00C9695A" w:rsidRDefault="008713D1" w:rsidP="00C9695A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</w:rPr>
      </w:pPr>
      <w:r w:rsidRPr="00C9695A">
        <w:rPr>
          <w:rFonts w:ascii="Arial" w:hAnsi="Arial" w:cs="Arial"/>
          <w:sz w:val="24"/>
        </w:rPr>
        <w:t xml:space="preserve">If there are more than 20 applicants, students will be invited to take the PTA Admissions Test during the interview to accumulate additional points to their ranking. </w:t>
      </w:r>
    </w:p>
    <w:p w:rsidR="00FF67B5" w:rsidRPr="00C9695A" w:rsidRDefault="00FF67B5" w:rsidP="00C9695A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</w:rPr>
      </w:pPr>
      <w:r w:rsidRPr="00C9695A">
        <w:rPr>
          <w:rFonts w:ascii="Arial" w:hAnsi="Arial" w:cs="Arial"/>
          <w:sz w:val="24"/>
        </w:rPr>
        <w:t xml:space="preserve">Students are notified of acceptance immediately after the interviews.  </w:t>
      </w:r>
      <w:r w:rsidR="008713D1" w:rsidRPr="00C9695A">
        <w:rPr>
          <w:rFonts w:ascii="Arial" w:hAnsi="Arial" w:cs="Arial"/>
          <w:sz w:val="24"/>
        </w:rPr>
        <w:t>Failure to respond to the acceptance invitation may result in forfeiture of the program admission.</w:t>
      </w:r>
    </w:p>
    <w:p w:rsidR="000F753A" w:rsidRPr="00C9695A" w:rsidRDefault="000F753A" w:rsidP="00C9695A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</w:rPr>
      </w:pPr>
      <w:r w:rsidRPr="00C9695A">
        <w:rPr>
          <w:rFonts w:ascii="Arial" w:hAnsi="Arial" w:cs="Arial"/>
          <w:sz w:val="24"/>
        </w:rPr>
        <w:t xml:space="preserve">Meeting </w:t>
      </w:r>
      <w:r w:rsidR="00FF67B5" w:rsidRPr="00C9695A">
        <w:rPr>
          <w:rFonts w:ascii="Arial" w:hAnsi="Arial" w:cs="Arial"/>
          <w:sz w:val="24"/>
        </w:rPr>
        <w:t xml:space="preserve">all </w:t>
      </w:r>
      <w:r w:rsidRPr="00C9695A">
        <w:rPr>
          <w:rFonts w:ascii="Arial" w:hAnsi="Arial" w:cs="Arial"/>
          <w:sz w:val="24"/>
        </w:rPr>
        <w:t>requirements does not guarantee admission</w:t>
      </w:r>
      <w:r w:rsidR="001C7C35" w:rsidRPr="00C9695A">
        <w:rPr>
          <w:rFonts w:ascii="Arial" w:hAnsi="Arial" w:cs="Arial"/>
          <w:sz w:val="24"/>
        </w:rPr>
        <w:t>.</w:t>
      </w:r>
    </w:p>
    <w:p w:rsidR="00AB3B4D" w:rsidRPr="00AB3B4D" w:rsidRDefault="00AB3B4D" w:rsidP="00C2566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B3B4D">
        <w:rPr>
          <w:rFonts w:ascii="Arial" w:eastAsia="Times New Roman" w:hAnsi="Arial" w:cs="Arial"/>
          <w:sz w:val="24"/>
          <w:szCs w:val="24"/>
          <w:u w:val="single"/>
        </w:rPr>
        <w:t>Acceptance Into PTA</w:t>
      </w:r>
    </w:p>
    <w:p w:rsidR="00AB3B4D" w:rsidRDefault="00AB3B4D" w:rsidP="0037648C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One cohort is accepted annually and classes begin in Fall semester.</w:t>
      </w:r>
    </w:p>
    <w:p w:rsidR="00741C47" w:rsidRDefault="00AB3B4D" w:rsidP="0037648C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Classes are full-time and in-person at the Oak Ridge campus </w:t>
      </w:r>
      <w:r w:rsidR="00741C47">
        <w:rPr>
          <w:rFonts w:ascii="Arial" w:eastAsia="Times New Roman" w:hAnsi="Arial" w:cs="Arial"/>
          <w:sz w:val="24"/>
          <w:szCs w:val="24"/>
        </w:rPr>
        <w:t xml:space="preserve">during </w:t>
      </w:r>
      <w:r w:rsidR="00C9695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fall, spring and summer semesters.</w:t>
      </w:r>
    </w:p>
    <w:p w:rsidR="000F753A" w:rsidRDefault="00AB3B4D" w:rsidP="0037648C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Classes m</w:t>
      </w:r>
      <w:r w:rsidR="000F753A">
        <w:rPr>
          <w:rFonts w:ascii="Arial" w:eastAsia="Times New Roman" w:hAnsi="Arial" w:cs="Arial"/>
          <w:sz w:val="24"/>
          <w:szCs w:val="24"/>
        </w:rPr>
        <w:t>ust be taken in sequence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741C47" w:rsidRDefault="00AB3B4D" w:rsidP="00CF3733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Classes a</w:t>
      </w:r>
      <w:r w:rsidR="00741C47" w:rsidRPr="00741C47">
        <w:rPr>
          <w:rFonts w:ascii="Arial" w:eastAsia="Times New Roman" w:hAnsi="Arial" w:cs="Arial"/>
          <w:sz w:val="24"/>
          <w:szCs w:val="24"/>
        </w:rPr>
        <w:t xml:space="preserve">re </w:t>
      </w:r>
      <w:r w:rsidR="00AF721F" w:rsidRPr="00741C47">
        <w:rPr>
          <w:rFonts w:ascii="Arial" w:eastAsia="Times New Roman" w:hAnsi="Arial" w:cs="Arial"/>
          <w:sz w:val="24"/>
          <w:szCs w:val="24"/>
        </w:rPr>
        <w:t xml:space="preserve">academically </w:t>
      </w:r>
      <w:r>
        <w:rPr>
          <w:rFonts w:ascii="Arial" w:eastAsia="Times New Roman" w:hAnsi="Arial" w:cs="Arial"/>
          <w:sz w:val="24"/>
          <w:szCs w:val="24"/>
        </w:rPr>
        <w:t>challenging</w:t>
      </w:r>
      <w:r w:rsidR="00C9695A">
        <w:rPr>
          <w:rFonts w:ascii="Arial" w:eastAsia="Times New Roman" w:hAnsi="Arial" w:cs="Arial"/>
          <w:sz w:val="24"/>
          <w:szCs w:val="24"/>
        </w:rPr>
        <w:t>. S</w:t>
      </w:r>
      <w:r>
        <w:rPr>
          <w:rFonts w:ascii="Arial" w:eastAsia="Times New Roman" w:hAnsi="Arial" w:cs="Arial"/>
          <w:sz w:val="24"/>
          <w:szCs w:val="24"/>
        </w:rPr>
        <w:t xml:space="preserve">tudents should consider whether working while in the program is </w:t>
      </w:r>
      <w:r w:rsidR="00C9695A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>feasible</w:t>
      </w:r>
      <w:r w:rsidR="00C9695A">
        <w:rPr>
          <w:rFonts w:ascii="Arial" w:eastAsia="Times New Roman" w:hAnsi="Arial" w:cs="Arial"/>
          <w:sz w:val="24"/>
          <w:szCs w:val="24"/>
        </w:rPr>
        <w:t xml:space="preserve"> financial plan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AF721F" w:rsidRPr="00741C47" w:rsidRDefault="00AB3B4D" w:rsidP="00CF3733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Clinicals are scheduled for one week of each </w:t>
      </w:r>
      <w:r w:rsidR="00C9695A">
        <w:rPr>
          <w:rFonts w:ascii="Arial" w:eastAsia="Times New Roman" w:hAnsi="Arial" w:cs="Arial"/>
          <w:sz w:val="24"/>
          <w:szCs w:val="24"/>
        </w:rPr>
        <w:t xml:space="preserve">of the </w:t>
      </w:r>
      <w:r>
        <w:rPr>
          <w:rFonts w:ascii="Arial" w:eastAsia="Times New Roman" w:hAnsi="Arial" w:cs="Arial"/>
          <w:sz w:val="24"/>
          <w:szCs w:val="24"/>
        </w:rPr>
        <w:t>f</w:t>
      </w:r>
      <w:r w:rsidR="00774B69" w:rsidRPr="00741C47">
        <w:rPr>
          <w:rFonts w:ascii="Arial" w:eastAsia="Times New Roman" w:hAnsi="Arial" w:cs="Arial"/>
          <w:sz w:val="24"/>
          <w:szCs w:val="24"/>
        </w:rPr>
        <w:t>all and spring semester</w:t>
      </w:r>
      <w:r w:rsidR="00C9695A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and 12 weeks </w:t>
      </w:r>
      <w:r w:rsidR="00C9695A">
        <w:rPr>
          <w:rFonts w:ascii="Arial" w:eastAsia="Times New Roman" w:hAnsi="Arial" w:cs="Arial"/>
          <w:sz w:val="24"/>
          <w:szCs w:val="24"/>
        </w:rPr>
        <w:t xml:space="preserve">during </w:t>
      </w:r>
      <w:r>
        <w:rPr>
          <w:rFonts w:ascii="Arial" w:eastAsia="Times New Roman" w:hAnsi="Arial" w:cs="Arial"/>
          <w:sz w:val="24"/>
          <w:szCs w:val="24"/>
        </w:rPr>
        <w:t xml:space="preserve">the summer semester. </w:t>
      </w:r>
      <w:r w:rsidR="006B0753" w:rsidRPr="00741C47">
        <w:rPr>
          <w:rFonts w:ascii="Arial" w:eastAsia="Times New Roman" w:hAnsi="Arial" w:cs="Arial"/>
          <w:sz w:val="24"/>
          <w:szCs w:val="24"/>
        </w:rPr>
        <w:t xml:space="preserve">Clinical sites require </w:t>
      </w:r>
      <w:r w:rsidR="00194AFE" w:rsidRPr="00741C47">
        <w:rPr>
          <w:rFonts w:ascii="Arial" w:eastAsia="Times New Roman" w:hAnsi="Arial" w:cs="Arial"/>
          <w:sz w:val="24"/>
          <w:szCs w:val="24"/>
        </w:rPr>
        <w:t xml:space="preserve">students to have </w:t>
      </w:r>
      <w:r w:rsidR="006B0753" w:rsidRPr="00741C47">
        <w:rPr>
          <w:rFonts w:ascii="Arial" w:eastAsia="Times New Roman" w:hAnsi="Arial" w:cs="Arial"/>
          <w:sz w:val="24"/>
          <w:szCs w:val="24"/>
        </w:rPr>
        <w:t xml:space="preserve">common vaccinations. Roane State is affiliated with a variety of health care facilities within and around the </w:t>
      </w:r>
      <w:r w:rsidR="00C9695A">
        <w:rPr>
          <w:rFonts w:ascii="Arial" w:eastAsia="Times New Roman" w:hAnsi="Arial" w:cs="Arial"/>
          <w:sz w:val="24"/>
          <w:szCs w:val="24"/>
        </w:rPr>
        <w:t xml:space="preserve">Roane State service </w:t>
      </w:r>
      <w:r w:rsidR="006B0753" w:rsidRPr="00741C47">
        <w:rPr>
          <w:rFonts w:ascii="Arial" w:eastAsia="Times New Roman" w:hAnsi="Arial" w:cs="Arial"/>
          <w:sz w:val="24"/>
          <w:szCs w:val="24"/>
        </w:rPr>
        <w:t xml:space="preserve">area. </w:t>
      </w:r>
      <w:r w:rsidR="00F01DED">
        <w:rPr>
          <w:rFonts w:ascii="Arial" w:eastAsia="Times New Roman" w:hAnsi="Arial" w:cs="Arial"/>
          <w:sz w:val="24"/>
          <w:szCs w:val="24"/>
        </w:rPr>
        <w:t>Students are r</w:t>
      </w:r>
      <w:r w:rsidR="006B0753" w:rsidRPr="00741C47">
        <w:rPr>
          <w:rFonts w:ascii="Arial" w:eastAsia="Times New Roman" w:hAnsi="Arial" w:cs="Arial"/>
          <w:sz w:val="24"/>
          <w:szCs w:val="24"/>
        </w:rPr>
        <w:t>esponsible for providing their own transportation to these facilities.</w:t>
      </w:r>
      <w:r w:rsidR="00C9695A">
        <w:rPr>
          <w:rFonts w:ascii="Arial" w:eastAsia="Times New Roman" w:hAnsi="Arial" w:cs="Arial"/>
          <w:sz w:val="24"/>
          <w:szCs w:val="24"/>
        </w:rPr>
        <w:t xml:space="preserve"> Drug-screening is a requirement prior to clinicals.  </w:t>
      </w:r>
    </w:p>
    <w:p w:rsidR="00A0253D" w:rsidRPr="00112D8D" w:rsidRDefault="00A0253D" w:rsidP="0072285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B3B4D" w:rsidRDefault="00722858" w:rsidP="00273AA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94AFE">
        <w:rPr>
          <w:rFonts w:ascii="Arial" w:eastAsia="Times New Roman" w:hAnsi="Arial" w:cs="Arial"/>
          <w:sz w:val="24"/>
          <w:szCs w:val="24"/>
          <w:u w:val="single"/>
        </w:rPr>
        <w:t>Licens</w:t>
      </w:r>
      <w:r w:rsidR="00194AFE" w:rsidRPr="00194AFE">
        <w:rPr>
          <w:rFonts w:ascii="Arial" w:eastAsia="Times New Roman" w:hAnsi="Arial" w:cs="Arial"/>
          <w:sz w:val="24"/>
          <w:szCs w:val="24"/>
          <w:u w:val="single"/>
        </w:rPr>
        <w:t>ure</w:t>
      </w:r>
      <w:r w:rsidRPr="00194AFE">
        <w:rPr>
          <w:rFonts w:ascii="Arial" w:eastAsia="Times New Roman" w:hAnsi="Arial" w:cs="Arial"/>
          <w:sz w:val="24"/>
          <w:szCs w:val="24"/>
          <w:u w:val="single"/>
        </w:rPr>
        <w:t>:</w:t>
      </w:r>
      <w:r w:rsidRPr="00112D8D">
        <w:rPr>
          <w:rFonts w:ascii="Arial" w:eastAsia="Times New Roman" w:hAnsi="Arial" w:cs="Arial"/>
          <w:sz w:val="24"/>
          <w:szCs w:val="24"/>
        </w:rPr>
        <w:t xml:space="preserve"> </w:t>
      </w:r>
    </w:p>
    <w:p w:rsidR="000F753A" w:rsidRPr="00FF67B5" w:rsidRDefault="00194AFE" w:rsidP="00FF67B5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7B5">
        <w:rPr>
          <w:rFonts w:ascii="Arial" w:eastAsia="Times New Roman" w:hAnsi="Arial" w:cs="Arial"/>
          <w:sz w:val="24"/>
          <w:szCs w:val="24"/>
        </w:rPr>
        <w:t>S</w:t>
      </w:r>
      <w:r w:rsidR="00A0253D" w:rsidRPr="00FF67B5">
        <w:rPr>
          <w:rFonts w:ascii="Arial" w:eastAsia="Times New Roman" w:hAnsi="Arial" w:cs="Arial"/>
          <w:sz w:val="24"/>
          <w:szCs w:val="24"/>
        </w:rPr>
        <w:t>tudent</w:t>
      </w:r>
      <w:r w:rsidRPr="00FF67B5">
        <w:rPr>
          <w:rFonts w:ascii="Arial" w:eastAsia="Times New Roman" w:hAnsi="Arial" w:cs="Arial"/>
          <w:sz w:val="24"/>
          <w:szCs w:val="24"/>
        </w:rPr>
        <w:t xml:space="preserve">s </w:t>
      </w:r>
      <w:r w:rsidR="004A4C89" w:rsidRPr="00FF67B5">
        <w:rPr>
          <w:rFonts w:ascii="Arial" w:eastAsia="Times New Roman" w:hAnsi="Arial" w:cs="Arial"/>
          <w:sz w:val="24"/>
          <w:szCs w:val="24"/>
        </w:rPr>
        <w:t xml:space="preserve">on track to graduate </w:t>
      </w:r>
      <w:r w:rsidRPr="00FF67B5">
        <w:rPr>
          <w:rFonts w:ascii="Arial" w:eastAsia="Times New Roman" w:hAnsi="Arial" w:cs="Arial"/>
          <w:sz w:val="24"/>
          <w:szCs w:val="24"/>
        </w:rPr>
        <w:t xml:space="preserve">must pass </w:t>
      </w:r>
      <w:r w:rsidR="00A0253D" w:rsidRPr="00FF67B5">
        <w:rPr>
          <w:rFonts w:ascii="Arial" w:eastAsia="Times New Roman" w:hAnsi="Arial" w:cs="Arial"/>
          <w:sz w:val="24"/>
          <w:szCs w:val="24"/>
        </w:rPr>
        <w:t>the PTA-</w:t>
      </w:r>
      <w:r w:rsidR="009B0950" w:rsidRPr="00FF67B5">
        <w:rPr>
          <w:rFonts w:ascii="Arial" w:eastAsia="Times New Roman" w:hAnsi="Arial" w:cs="Arial"/>
          <w:sz w:val="24"/>
          <w:szCs w:val="24"/>
        </w:rPr>
        <w:t>N</w:t>
      </w:r>
      <w:r w:rsidR="00A0253D" w:rsidRPr="00FF67B5">
        <w:rPr>
          <w:rFonts w:ascii="Arial" w:eastAsia="Times New Roman" w:hAnsi="Arial" w:cs="Arial"/>
          <w:sz w:val="24"/>
          <w:szCs w:val="24"/>
        </w:rPr>
        <w:t xml:space="preserve">PTE (National Physical Therapy Examination) </w:t>
      </w:r>
      <w:r w:rsidRPr="00FF67B5">
        <w:rPr>
          <w:rFonts w:ascii="Arial" w:eastAsia="Times New Roman" w:hAnsi="Arial" w:cs="Arial"/>
          <w:sz w:val="24"/>
          <w:szCs w:val="24"/>
        </w:rPr>
        <w:t>to be lic</w:t>
      </w:r>
      <w:r w:rsidR="00A0253D" w:rsidRPr="00FF67B5">
        <w:rPr>
          <w:rFonts w:ascii="Arial" w:eastAsia="Times New Roman" w:hAnsi="Arial" w:cs="Arial"/>
          <w:sz w:val="24"/>
          <w:szCs w:val="24"/>
        </w:rPr>
        <w:t>ensed as a physical therapist assistant</w:t>
      </w:r>
      <w:r w:rsidRPr="00FF67B5">
        <w:rPr>
          <w:rFonts w:ascii="Arial" w:eastAsia="Times New Roman" w:hAnsi="Arial" w:cs="Arial"/>
          <w:sz w:val="24"/>
          <w:szCs w:val="24"/>
        </w:rPr>
        <w:t xml:space="preserve"> and eligible </w:t>
      </w:r>
      <w:r w:rsidR="00C9695A">
        <w:rPr>
          <w:rFonts w:ascii="Arial" w:eastAsia="Times New Roman" w:hAnsi="Arial" w:cs="Arial"/>
          <w:sz w:val="24"/>
          <w:szCs w:val="24"/>
        </w:rPr>
        <w:t>to work</w:t>
      </w:r>
      <w:r w:rsidR="00A0253D" w:rsidRPr="00FF67B5">
        <w:rPr>
          <w:rFonts w:ascii="Arial" w:eastAsia="Times New Roman" w:hAnsi="Arial" w:cs="Arial"/>
          <w:sz w:val="24"/>
          <w:szCs w:val="24"/>
        </w:rPr>
        <w:t xml:space="preserve">. </w:t>
      </w:r>
      <w:r w:rsidR="009B36AD" w:rsidRPr="00FF67B5">
        <w:rPr>
          <w:rFonts w:ascii="Arial" w:eastAsia="Times New Roman" w:hAnsi="Arial" w:cs="Arial"/>
          <w:sz w:val="24"/>
          <w:szCs w:val="24"/>
        </w:rPr>
        <w:t xml:space="preserve">Tennessee licensure </w:t>
      </w:r>
      <w:r w:rsidR="002450DC" w:rsidRPr="00FF67B5">
        <w:rPr>
          <w:rFonts w:ascii="Arial" w:eastAsia="Times New Roman" w:hAnsi="Arial" w:cs="Arial"/>
          <w:sz w:val="24"/>
          <w:szCs w:val="24"/>
        </w:rPr>
        <w:t xml:space="preserve">also </w:t>
      </w:r>
      <w:r w:rsidR="009B36AD" w:rsidRPr="00FF67B5">
        <w:rPr>
          <w:rFonts w:ascii="Arial" w:eastAsia="Times New Roman" w:hAnsi="Arial" w:cs="Arial"/>
          <w:sz w:val="24"/>
          <w:szCs w:val="24"/>
        </w:rPr>
        <w:t>requires a fingerprinted background check</w:t>
      </w:r>
      <w:r w:rsidR="00722858" w:rsidRPr="00FF67B5">
        <w:rPr>
          <w:rFonts w:ascii="Arial" w:eastAsia="Times New Roman" w:hAnsi="Arial" w:cs="Arial"/>
          <w:sz w:val="24"/>
          <w:szCs w:val="24"/>
        </w:rPr>
        <w:t xml:space="preserve">. </w:t>
      </w:r>
      <w:bookmarkStart w:id="0" w:name="_Hlk219895807"/>
    </w:p>
    <w:bookmarkEnd w:id="0"/>
    <w:p w:rsidR="000F753A" w:rsidRPr="000F753A" w:rsidRDefault="000F753A" w:rsidP="000F753A">
      <w:pPr>
        <w:pStyle w:val="ListParagraph"/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73AAA" w:rsidRPr="008713D1" w:rsidRDefault="00D32612" w:rsidP="00E601D4">
      <w:pPr>
        <w:pStyle w:val="Heading2"/>
        <w:spacing w:after="240"/>
        <w:rPr>
          <w:rFonts w:eastAsia="Times New Roman"/>
          <w:b w:val="0"/>
          <w:u w:val="single"/>
        </w:rPr>
      </w:pPr>
      <w:r w:rsidRPr="008713D1">
        <w:rPr>
          <w:rFonts w:eastAsia="Times New Roman"/>
          <w:b w:val="0"/>
          <w:u w:val="single"/>
        </w:rPr>
        <w:t>P</w:t>
      </w:r>
      <w:r w:rsidR="00273AAA" w:rsidRPr="008713D1">
        <w:rPr>
          <w:rFonts w:eastAsia="Times New Roman"/>
          <w:b w:val="0"/>
          <w:u w:val="single"/>
        </w:rPr>
        <w:t>TA Program Approximate Non-Tuition Costs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TA Program non tuition cost per semester"/>
      </w:tblPr>
      <w:tblGrid>
        <w:gridCol w:w="3402"/>
        <w:gridCol w:w="1012"/>
        <w:gridCol w:w="1796"/>
        <w:gridCol w:w="1521"/>
        <w:gridCol w:w="544"/>
        <w:gridCol w:w="1075"/>
      </w:tblGrid>
      <w:tr w:rsidR="008F16F8" w:rsidRPr="00112D8D" w:rsidTr="00964D65">
        <w:trPr>
          <w:tblHeader/>
        </w:trPr>
        <w:tc>
          <w:tcPr>
            <w:tcW w:w="3415" w:type="dxa"/>
            <w:tcBorders>
              <w:right w:val="nil"/>
            </w:tcBorders>
          </w:tcPr>
          <w:p w:rsidR="008F16F8" w:rsidRDefault="008F16F8" w:rsidP="002A437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2D8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Fall </w:t>
            </w:r>
          </w:p>
          <w:p w:rsidR="008F16F8" w:rsidRPr="00112D8D" w:rsidRDefault="008F16F8" w:rsidP="002A437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2D8D">
              <w:rPr>
                <w:rFonts w:ascii="Arial" w:eastAsia="Times New Roman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8F16F8" w:rsidRPr="00112D8D" w:rsidRDefault="008F16F8" w:rsidP="00964D65">
            <w:pPr>
              <w:widowControl w:val="0"/>
              <w:autoSpaceDE w:val="0"/>
              <w:autoSpaceDN w:val="0"/>
              <w:ind w:left="61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8F16F8" w:rsidRDefault="008F16F8" w:rsidP="00273AA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2D8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Spring </w:t>
            </w:r>
          </w:p>
          <w:p w:rsidR="008F16F8" w:rsidRPr="00112D8D" w:rsidRDefault="008F16F8" w:rsidP="00273AA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12D8D">
              <w:rPr>
                <w:rFonts w:ascii="Arial" w:eastAsia="Times New Roman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1522" w:type="dxa"/>
            <w:tcBorders>
              <w:right w:val="nil"/>
            </w:tcBorders>
          </w:tcPr>
          <w:p w:rsidR="008F16F8" w:rsidRDefault="008F16F8" w:rsidP="00273AA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2D8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Summer </w:t>
            </w:r>
          </w:p>
          <w:p w:rsidR="008F16F8" w:rsidRPr="00112D8D" w:rsidRDefault="008F16F8" w:rsidP="00273AA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12D8D">
              <w:rPr>
                <w:rFonts w:ascii="Arial" w:eastAsia="Times New Roman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1623" w:type="dxa"/>
            <w:gridSpan w:val="2"/>
            <w:tcBorders>
              <w:left w:val="nil"/>
              <w:bottom w:val="single" w:sz="4" w:space="0" w:color="auto"/>
            </w:tcBorders>
          </w:tcPr>
          <w:p w:rsidR="008F16F8" w:rsidRPr="00112D8D" w:rsidRDefault="008F16F8" w:rsidP="00273AA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F16F8" w:rsidRPr="00112D8D" w:rsidTr="00964D65">
        <w:trPr>
          <w:tblHeader/>
        </w:trPr>
        <w:tc>
          <w:tcPr>
            <w:tcW w:w="3415" w:type="dxa"/>
            <w:tcBorders>
              <w:right w:val="nil"/>
            </w:tcBorders>
          </w:tcPr>
          <w:p w:rsidR="008F16F8" w:rsidRPr="00D16871" w:rsidRDefault="008F16F8" w:rsidP="00C75BFA">
            <w:pPr>
              <w:widowControl w:val="0"/>
              <w:tabs>
                <w:tab w:val="left" w:pos="2448"/>
              </w:tabs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>Books</w:t>
            </w:r>
            <w:r>
              <w:rPr>
                <w:rFonts w:ascii="Arial" w:eastAsia="Times New Roman" w:hAnsi="Arial" w:cs="Arial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</w:rPr>
              <w:tab/>
            </w:r>
          </w:p>
          <w:p w:rsidR="00964D65" w:rsidRDefault="008F16F8" w:rsidP="00E601D4">
            <w:pPr>
              <w:widowControl w:val="0"/>
              <w:tabs>
                <w:tab w:val="left" w:pos="2448"/>
              </w:tabs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>Liability Insurance</w:t>
            </w:r>
          </w:p>
          <w:p w:rsidR="008F16F8" w:rsidRPr="00D16871" w:rsidRDefault="008F16F8" w:rsidP="00E601D4">
            <w:pPr>
              <w:widowControl w:val="0"/>
              <w:tabs>
                <w:tab w:val="left" w:pos="2448"/>
              </w:tabs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>APTA Membership</w:t>
            </w:r>
            <w:r>
              <w:rPr>
                <w:rFonts w:ascii="Arial" w:eastAsia="Times New Roman" w:hAnsi="Arial" w:cs="Arial"/>
                <w:szCs w:val="24"/>
              </w:rPr>
              <w:tab/>
            </w:r>
          </w:p>
          <w:p w:rsidR="008F16F8" w:rsidRPr="00D16871" w:rsidRDefault="008F16F8" w:rsidP="00E601D4">
            <w:pPr>
              <w:widowControl w:val="0"/>
              <w:tabs>
                <w:tab w:val="left" w:pos="2448"/>
              </w:tabs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 xml:space="preserve">Supplies  </w:t>
            </w:r>
          </w:p>
          <w:p w:rsidR="008F16F8" w:rsidRPr="00D16871" w:rsidRDefault="00C9695A" w:rsidP="00964D65">
            <w:pPr>
              <w:widowControl w:val="0"/>
              <w:tabs>
                <w:tab w:val="left" w:pos="2475"/>
              </w:tabs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Vaccinations and Medical </w:t>
            </w:r>
            <w:r w:rsidR="008F16F8" w:rsidRPr="00D16871">
              <w:rPr>
                <w:rFonts w:ascii="Arial" w:eastAsia="Times New Roman" w:hAnsi="Arial" w:cs="Arial"/>
                <w:szCs w:val="24"/>
              </w:rPr>
              <w:t xml:space="preserve"> </w:t>
            </w:r>
          </w:p>
          <w:p w:rsidR="008F16F8" w:rsidRPr="00D16871" w:rsidRDefault="008F16F8" w:rsidP="00E601D4">
            <w:pPr>
              <w:widowControl w:val="0"/>
              <w:tabs>
                <w:tab w:val="left" w:pos="2448"/>
              </w:tabs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>Background check</w:t>
            </w:r>
            <w:r w:rsidR="00964D65">
              <w:rPr>
                <w:rFonts w:ascii="Arial" w:eastAsia="Times New Roman" w:hAnsi="Arial" w:cs="Arial"/>
                <w:szCs w:val="24"/>
              </w:rPr>
              <w:t xml:space="preserve"> and </w:t>
            </w:r>
            <w:r w:rsidRPr="00D16871">
              <w:rPr>
                <w:rFonts w:ascii="Arial" w:eastAsia="Times New Roman" w:hAnsi="Arial" w:cs="Arial"/>
                <w:szCs w:val="24"/>
              </w:rPr>
              <w:t xml:space="preserve">drug </w:t>
            </w:r>
            <w:r w:rsidR="00964D65">
              <w:rPr>
                <w:rFonts w:ascii="Arial" w:eastAsia="Times New Roman" w:hAnsi="Arial" w:cs="Arial"/>
                <w:szCs w:val="24"/>
              </w:rPr>
              <w:t>s</w:t>
            </w:r>
            <w:r w:rsidRPr="00D16871">
              <w:rPr>
                <w:rFonts w:ascii="Arial" w:eastAsia="Times New Roman" w:hAnsi="Arial" w:cs="Arial"/>
                <w:szCs w:val="24"/>
              </w:rPr>
              <w:t>creen</w:t>
            </w:r>
            <w:r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16871">
              <w:rPr>
                <w:rFonts w:ascii="Arial" w:eastAsia="Times New Roman" w:hAnsi="Arial" w:cs="Arial"/>
                <w:szCs w:val="24"/>
              </w:rPr>
              <w:t xml:space="preserve"> </w:t>
            </w:r>
          </w:p>
          <w:p w:rsidR="008F16F8" w:rsidRPr="00D16871" w:rsidRDefault="008F16F8" w:rsidP="00964D65">
            <w:pPr>
              <w:widowControl w:val="0"/>
              <w:tabs>
                <w:tab w:val="left" w:pos="2448"/>
              </w:tabs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 xml:space="preserve">CPR and First Aid  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8F16F8" w:rsidRDefault="008F16F8" w:rsidP="00964D65">
            <w:pPr>
              <w:widowControl w:val="0"/>
              <w:autoSpaceDE w:val="0"/>
              <w:autoSpaceDN w:val="0"/>
              <w:ind w:left="525" w:hanging="525"/>
              <w:jc w:val="right"/>
              <w:rPr>
                <w:rFonts w:ascii="Arial" w:eastAsia="Times New Roman" w:hAnsi="Arial" w:cs="Arial"/>
                <w:szCs w:val="24"/>
              </w:rPr>
            </w:pPr>
            <w:r w:rsidRPr="00C75BFA">
              <w:rPr>
                <w:rFonts w:ascii="Arial" w:eastAsia="Times New Roman" w:hAnsi="Arial" w:cs="Arial"/>
                <w:szCs w:val="24"/>
              </w:rPr>
              <w:t>$600.00</w:t>
            </w:r>
          </w:p>
          <w:p w:rsidR="008F16F8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C75BFA">
              <w:rPr>
                <w:rFonts w:ascii="Arial" w:eastAsia="Times New Roman" w:hAnsi="Arial" w:cs="Arial"/>
                <w:szCs w:val="24"/>
              </w:rPr>
              <w:t>$15.00</w:t>
            </w:r>
          </w:p>
          <w:p w:rsidR="008F16F8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C75BFA">
              <w:rPr>
                <w:rFonts w:ascii="Arial" w:eastAsia="Times New Roman" w:hAnsi="Arial" w:cs="Arial"/>
                <w:szCs w:val="24"/>
              </w:rPr>
              <w:t>$80.00</w:t>
            </w:r>
          </w:p>
          <w:p w:rsidR="008F16F8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>$70.00</w:t>
            </w:r>
          </w:p>
          <w:p w:rsidR="008F16F8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C75BFA">
              <w:rPr>
                <w:rFonts w:ascii="Arial" w:eastAsia="Times New Roman" w:hAnsi="Arial" w:cs="Arial"/>
                <w:szCs w:val="24"/>
              </w:rPr>
              <w:t>$100.00</w:t>
            </w:r>
          </w:p>
          <w:p w:rsidR="008F16F8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8F16F8">
              <w:rPr>
                <w:rFonts w:ascii="Arial" w:eastAsia="Times New Roman" w:hAnsi="Arial" w:cs="Arial"/>
                <w:szCs w:val="24"/>
              </w:rPr>
              <w:t>$75.00</w:t>
            </w:r>
          </w:p>
          <w:p w:rsidR="00964D65" w:rsidRDefault="00964D65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</w:p>
          <w:p w:rsidR="008F16F8" w:rsidRPr="00D16871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8F16F8">
              <w:rPr>
                <w:rFonts w:ascii="Arial" w:eastAsia="Times New Roman" w:hAnsi="Arial" w:cs="Arial"/>
                <w:szCs w:val="24"/>
              </w:rPr>
              <w:t>$50.00</w:t>
            </w:r>
          </w:p>
        </w:tc>
        <w:tc>
          <w:tcPr>
            <w:tcW w:w="1800" w:type="dxa"/>
          </w:tcPr>
          <w:p w:rsidR="008F16F8" w:rsidRPr="00D16871" w:rsidRDefault="008F16F8" w:rsidP="008F16F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>Books</w:t>
            </w:r>
            <w:r>
              <w:rPr>
                <w:rFonts w:ascii="Arial" w:eastAsia="Times New Roman" w:hAnsi="Arial" w:cs="Arial"/>
                <w:szCs w:val="24"/>
              </w:rPr>
              <w:tab/>
            </w:r>
            <w:r w:rsidRPr="00D16871">
              <w:rPr>
                <w:rFonts w:ascii="Arial" w:eastAsia="Times New Roman" w:hAnsi="Arial" w:cs="Arial"/>
                <w:szCs w:val="24"/>
              </w:rPr>
              <w:t>$350.00</w:t>
            </w:r>
          </w:p>
          <w:p w:rsidR="008F16F8" w:rsidRPr="00D16871" w:rsidRDefault="008F16F8" w:rsidP="001643E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070" w:type="dxa"/>
            <w:gridSpan w:val="2"/>
            <w:tcBorders>
              <w:right w:val="nil"/>
            </w:tcBorders>
          </w:tcPr>
          <w:p w:rsidR="008F16F8" w:rsidRDefault="008F16F8" w:rsidP="005D0C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>NPTE fee</w:t>
            </w:r>
          </w:p>
          <w:p w:rsidR="008F16F8" w:rsidRDefault="008F16F8" w:rsidP="005D0C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Test service f</w:t>
            </w:r>
            <w:r w:rsidRPr="00D16871">
              <w:rPr>
                <w:rFonts w:ascii="Arial" w:eastAsia="Times New Roman" w:hAnsi="Arial" w:cs="Arial"/>
                <w:szCs w:val="24"/>
              </w:rPr>
              <w:t>ee</w:t>
            </w:r>
          </w:p>
          <w:p w:rsidR="008F16F8" w:rsidRDefault="008F16F8" w:rsidP="008F16F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>Background check</w:t>
            </w:r>
          </w:p>
          <w:p w:rsidR="008F16F8" w:rsidRDefault="008F16F8" w:rsidP="008F16F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>License Fee</w:t>
            </w:r>
          </w:p>
          <w:p w:rsidR="008F16F8" w:rsidRPr="00D16871" w:rsidRDefault="008F16F8" w:rsidP="008F16F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  <w:r w:rsidRPr="00D16871">
              <w:rPr>
                <w:rFonts w:ascii="Arial" w:eastAsia="Times New Roman" w:hAnsi="Arial" w:cs="Arial"/>
                <w:szCs w:val="24"/>
              </w:rPr>
              <w:t>Study Guide</w:t>
            </w:r>
          </w:p>
        </w:tc>
        <w:tc>
          <w:tcPr>
            <w:tcW w:w="1075" w:type="dxa"/>
            <w:tcBorders>
              <w:left w:val="nil"/>
              <w:bottom w:val="single" w:sz="4" w:space="0" w:color="auto"/>
            </w:tcBorders>
          </w:tcPr>
          <w:p w:rsidR="008F16F8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8F16F8">
              <w:rPr>
                <w:rFonts w:ascii="Arial" w:eastAsia="Times New Roman" w:hAnsi="Arial" w:cs="Arial"/>
                <w:szCs w:val="24"/>
              </w:rPr>
              <w:t>$485.00</w:t>
            </w:r>
          </w:p>
          <w:p w:rsidR="008F16F8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8F16F8">
              <w:rPr>
                <w:rFonts w:ascii="Arial" w:eastAsia="Times New Roman" w:hAnsi="Arial" w:cs="Arial"/>
                <w:szCs w:val="24"/>
              </w:rPr>
              <w:t>$85.00</w:t>
            </w:r>
          </w:p>
          <w:p w:rsidR="008F16F8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8F16F8">
              <w:rPr>
                <w:rFonts w:ascii="Arial" w:eastAsia="Times New Roman" w:hAnsi="Arial" w:cs="Arial"/>
                <w:szCs w:val="24"/>
              </w:rPr>
              <w:t>$50.00</w:t>
            </w:r>
          </w:p>
          <w:p w:rsidR="008F16F8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8F16F8">
              <w:rPr>
                <w:rFonts w:ascii="Arial" w:eastAsia="Times New Roman" w:hAnsi="Arial" w:cs="Arial"/>
                <w:szCs w:val="24"/>
              </w:rPr>
              <w:t>$125.00</w:t>
            </w:r>
          </w:p>
          <w:p w:rsidR="008F16F8" w:rsidRPr="00D16871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szCs w:val="24"/>
              </w:rPr>
            </w:pPr>
            <w:r w:rsidRPr="008F16F8">
              <w:rPr>
                <w:rFonts w:ascii="Arial" w:eastAsia="Times New Roman" w:hAnsi="Arial" w:cs="Arial"/>
                <w:szCs w:val="24"/>
              </w:rPr>
              <w:t>$90.00</w:t>
            </w:r>
          </w:p>
        </w:tc>
      </w:tr>
      <w:tr w:rsidR="008F16F8" w:rsidRPr="00112D8D" w:rsidTr="00964D65">
        <w:trPr>
          <w:tblHeader/>
        </w:trPr>
        <w:tc>
          <w:tcPr>
            <w:tcW w:w="3415" w:type="dxa"/>
            <w:tcBorders>
              <w:right w:val="nil"/>
            </w:tcBorders>
          </w:tcPr>
          <w:p w:rsidR="008F16F8" w:rsidRPr="00D16871" w:rsidRDefault="008F16F8" w:rsidP="008F16F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Cs w:val="24"/>
              </w:rPr>
            </w:pPr>
            <w:r w:rsidRPr="00D16871">
              <w:rPr>
                <w:rFonts w:ascii="Arial" w:eastAsia="Times New Roman" w:hAnsi="Arial" w:cs="Arial"/>
                <w:b/>
                <w:szCs w:val="24"/>
              </w:rPr>
              <w:t>Subtotals</w:t>
            </w:r>
            <w:r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8F16F8" w:rsidRPr="008F16F8" w:rsidRDefault="008F16F8" w:rsidP="00FA09B4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b/>
                <w:szCs w:val="24"/>
              </w:rPr>
            </w:pPr>
            <w:r w:rsidRPr="008F16F8">
              <w:rPr>
                <w:rFonts w:ascii="Arial" w:eastAsia="Times New Roman" w:hAnsi="Arial" w:cs="Arial"/>
                <w:b/>
                <w:szCs w:val="24"/>
              </w:rPr>
              <w:t>$990.00</w:t>
            </w:r>
          </w:p>
        </w:tc>
        <w:tc>
          <w:tcPr>
            <w:tcW w:w="1800" w:type="dxa"/>
          </w:tcPr>
          <w:p w:rsidR="008F16F8" w:rsidRPr="00D16871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b/>
                <w:szCs w:val="24"/>
              </w:rPr>
            </w:pPr>
            <w:r w:rsidRPr="00D16871">
              <w:rPr>
                <w:rFonts w:ascii="Arial" w:eastAsia="Times New Roman" w:hAnsi="Arial" w:cs="Arial"/>
                <w:b/>
                <w:szCs w:val="24"/>
              </w:rPr>
              <w:t>$350.00</w:t>
            </w:r>
          </w:p>
        </w:tc>
        <w:tc>
          <w:tcPr>
            <w:tcW w:w="1522" w:type="dxa"/>
            <w:tcBorders>
              <w:right w:val="nil"/>
            </w:tcBorders>
          </w:tcPr>
          <w:p w:rsidR="008F16F8" w:rsidRPr="00D16871" w:rsidRDefault="008F16F8" w:rsidP="008F16F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  </w:t>
            </w:r>
          </w:p>
        </w:tc>
        <w:tc>
          <w:tcPr>
            <w:tcW w:w="1623" w:type="dxa"/>
            <w:gridSpan w:val="2"/>
            <w:tcBorders>
              <w:left w:val="nil"/>
              <w:bottom w:val="single" w:sz="4" w:space="0" w:color="auto"/>
            </w:tcBorders>
          </w:tcPr>
          <w:p w:rsidR="008F16F8" w:rsidRPr="008F16F8" w:rsidRDefault="008F16F8" w:rsidP="008F16F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b/>
                <w:szCs w:val="24"/>
              </w:rPr>
            </w:pPr>
            <w:r w:rsidRPr="008F16F8">
              <w:rPr>
                <w:rFonts w:ascii="Arial" w:eastAsia="Times New Roman" w:hAnsi="Arial" w:cs="Arial"/>
                <w:b/>
                <w:szCs w:val="24"/>
              </w:rPr>
              <w:t>$835.00</w:t>
            </w:r>
          </w:p>
        </w:tc>
      </w:tr>
      <w:tr w:rsidR="008F16F8" w:rsidRPr="00112D8D" w:rsidTr="00964D65">
        <w:trPr>
          <w:tblHeader/>
        </w:trPr>
        <w:tc>
          <w:tcPr>
            <w:tcW w:w="3415" w:type="dxa"/>
            <w:tcBorders>
              <w:right w:val="nil"/>
            </w:tcBorders>
          </w:tcPr>
          <w:p w:rsidR="008F16F8" w:rsidRPr="00D16871" w:rsidRDefault="008F16F8" w:rsidP="005D0C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G</w:t>
            </w:r>
            <w:r w:rsidRPr="00D16871">
              <w:rPr>
                <w:rFonts w:ascii="Arial" w:eastAsia="Times New Roman" w:hAnsi="Arial" w:cs="Arial"/>
                <w:b/>
                <w:szCs w:val="24"/>
              </w:rPr>
              <w:t>rand Total</w:t>
            </w:r>
          </w:p>
        </w:tc>
        <w:tc>
          <w:tcPr>
            <w:tcW w:w="990" w:type="dxa"/>
            <w:tcBorders>
              <w:left w:val="nil"/>
            </w:tcBorders>
          </w:tcPr>
          <w:p w:rsidR="008F16F8" w:rsidRPr="00D16871" w:rsidRDefault="008F16F8" w:rsidP="005D0C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00" w:type="dxa"/>
          </w:tcPr>
          <w:p w:rsidR="008F16F8" w:rsidRPr="00D16871" w:rsidRDefault="008F16F8" w:rsidP="005D0C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22" w:type="dxa"/>
            <w:tcBorders>
              <w:right w:val="nil"/>
            </w:tcBorders>
          </w:tcPr>
          <w:p w:rsidR="008F16F8" w:rsidRPr="00D16871" w:rsidRDefault="008F16F8" w:rsidP="00516070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23" w:type="dxa"/>
            <w:gridSpan w:val="2"/>
            <w:tcBorders>
              <w:left w:val="nil"/>
            </w:tcBorders>
          </w:tcPr>
          <w:p w:rsidR="008F16F8" w:rsidRPr="00D16871" w:rsidRDefault="008F16F8" w:rsidP="00516070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b/>
                <w:szCs w:val="24"/>
              </w:rPr>
            </w:pPr>
            <w:r w:rsidRPr="00D16871">
              <w:rPr>
                <w:rFonts w:ascii="Arial" w:eastAsia="Times New Roman" w:hAnsi="Arial" w:cs="Arial"/>
                <w:b/>
                <w:szCs w:val="24"/>
              </w:rPr>
              <w:t>$2275.00</w:t>
            </w:r>
          </w:p>
        </w:tc>
      </w:tr>
    </w:tbl>
    <w:p w:rsidR="008A48FB" w:rsidRPr="006563F5" w:rsidRDefault="008A48FB" w:rsidP="008713D1">
      <w:pPr>
        <w:widowControl w:val="0"/>
        <w:autoSpaceDE w:val="0"/>
        <w:autoSpaceDN w:val="0"/>
        <w:spacing w:after="0" w:line="240" w:lineRule="auto"/>
        <w:ind w:left="720" w:hanging="720"/>
        <w:rPr>
          <w:rFonts w:ascii="Arial" w:eastAsia="Times New Roman" w:hAnsi="Arial" w:cs="Arial"/>
          <w:sz w:val="24"/>
        </w:rPr>
      </w:pPr>
      <w:bookmarkStart w:id="1" w:name="_GoBack"/>
      <w:bookmarkEnd w:id="1"/>
    </w:p>
    <w:sectPr w:rsidR="008A48FB" w:rsidRPr="006563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30D" w:rsidRDefault="008F230D" w:rsidP="00413912">
      <w:pPr>
        <w:spacing w:after="0" w:line="240" w:lineRule="auto"/>
      </w:pPr>
      <w:r>
        <w:separator/>
      </w:r>
    </w:p>
  </w:endnote>
  <w:endnote w:type="continuationSeparator" w:id="0">
    <w:p w:rsidR="008F230D" w:rsidRDefault="008F230D" w:rsidP="0041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3939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3912" w:rsidRDefault="00413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E0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13912" w:rsidRDefault="00413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30D" w:rsidRDefault="008F230D" w:rsidP="00413912">
      <w:pPr>
        <w:spacing w:after="0" w:line="240" w:lineRule="auto"/>
      </w:pPr>
      <w:r>
        <w:separator/>
      </w:r>
    </w:p>
  </w:footnote>
  <w:footnote w:type="continuationSeparator" w:id="0">
    <w:p w:rsidR="008F230D" w:rsidRDefault="008F230D" w:rsidP="00413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3830"/>
    <w:multiLevelType w:val="hybridMultilevel"/>
    <w:tmpl w:val="75CC7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4EEF"/>
    <w:multiLevelType w:val="hybridMultilevel"/>
    <w:tmpl w:val="C86C7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468E"/>
    <w:multiLevelType w:val="hybridMultilevel"/>
    <w:tmpl w:val="3E18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0288F"/>
    <w:multiLevelType w:val="hybridMultilevel"/>
    <w:tmpl w:val="82C2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1054"/>
    <w:multiLevelType w:val="hybridMultilevel"/>
    <w:tmpl w:val="F71A25DA"/>
    <w:lvl w:ilvl="0" w:tplc="0DF6ECA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016F0"/>
    <w:multiLevelType w:val="hybridMultilevel"/>
    <w:tmpl w:val="86701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0714C"/>
    <w:multiLevelType w:val="hybridMultilevel"/>
    <w:tmpl w:val="98766C82"/>
    <w:lvl w:ilvl="0" w:tplc="A42A6CE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5438"/>
    <w:multiLevelType w:val="hybridMultilevel"/>
    <w:tmpl w:val="3BA6C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14401"/>
    <w:multiLevelType w:val="hybridMultilevel"/>
    <w:tmpl w:val="332A1C7A"/>
    <w:lvl w:ilvl="0" w:tplc="0DF6ECA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01368"/>
    <w:multiLevelType w:val="hybridMultilevel"/>
    <w:tmpl w:val="69F0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D2ECE"/>
    <w:multiLevelType w:val="hybridMultilevel"/>
    <w:tmpl w:val="9B36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D0B2B"/>
    <w:multiLevelType w:val="hybridMultilevel"/>
    <w:tmpl w:val="2916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005F8"/>
    <w:multiLevelType w:val="hybridMultilevel"/>
    <w:tmpl w:val="7A00D8E4"/>
    <w:lvl w:ilvl="0" w:tplc="263C1D3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50378"/>
    <w:multiLevelType w:val="hybridMultilevel"/>
    <w:tmpl w:val="605E5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92773D"/>
    <w:multiLevelType w:val="hybridMultilevel"/>
    <w:tmpl w:val="46C4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34218"/>
    <w:multiLevelType w:val="hybridMultilevel"/>
    <w:tmpl w:val="AEA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1172A"/>
    <w:multiLevelType w:val="hybridMultilevel"/>
    <w:tmpl w:val="AD68E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C94"/>
    <w:multiLevelType w:val="hybridMultilevel"/>
    <w:tmpl w:val="09F8A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12"/>
  </w:num>
  <w:num w:numId="6">
    <w:abstractNumId w:val="4"/>
  </w:num>
  <w:num w:numId="7">
    <w:abstractNumId w:val="8"/>
  </w:num>
  <w:num w:numId="8">
    <w:abstractNumId w:val="6"/>
  </w:num>
  <w:num w:numId="9">
    <w:abstractNumId w:val="16"/>
  </w:num>
  <w:num w:numId="10">
    <w:abstractNumId w:val="14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3"/>
  </w:num>
  <w:num w:numId="16">
    <w:abstractNumId w:val="1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97"/>
    <w:rsid w:val="00004AC6"/>
    <w:rsid w:val="000155B6"/>
    <w:rsid w:val="00021B85"/>
    <w:rsid w:val="000276A6"/>
    <w:rsid w:val="000504FB"/>
    <w:rsid w:val="00052DAA"/>
    <w:rsid w:val="00070736"/>
    <w:rsid w:val="00085AA6"/>
    <w:rsid w:val="0009376E"/>
    <w:rsid w:val="000C1BF8"/>
    <w:rsid w:val="000D281A"/>
    <w:rsid w:val="000F753A"/>
    <w:rsid w:val="00112D8D"/>
    <w:rsid w:val="001643E8"/>
    <w:rsid w:val="0018194E"/>
    <w:rsid w:val="00194AFE"/>
    <w:rsid w:val="001B3A12"/>
    <w:rsid w:val="001C76F0"/>
    <w:rsid w:val="001C7C35"/>
    <w:rsid w:val="001E06E7"/>
    <w:rsid w:val="001F03C6"/>
    <w:rsid w:val="002450DC"/>
    <w:rsid w:val="002572D5"/>
    <w:rsid w:val="002603AF"/>
    <w:rsid w:val="00273AAA"/>
    <w:rsid w:val="00287564"/>
    <w:rsid w:val="00293880"/>
    <w:rsid w:val="002A4370"/>
    <w:rsid w:val="002B4BF5"/>
    <w:rsid w:val="002B66E9"/>
    <w:rsid w:val="002B6B57"/>
    <w:rsid w:val="002C0EF3"/>
    <w:rsid w:val="002C3467"/>
    <w:rsid w:val="002C602F"/>
    <w:rsid w:val="00351A93"/>
    <w:rsid w:val="00360112"/>
    <w:rsid w:val="003728AA"/>
    <w:rsid w:val="003A234E"/>
    <w:rsid w:val="003E0283"/>
    <w:rsid w:val="003E5ADC"/>
    <w:rsid w:val="003F3360"/>
    <w:rsid w:val="003F49E0"/>
    <w:rsid w:val="00402317"/>
    <w:rsid w:val="00413912"/>
    <w:rsid w:val="00414BC7"/>
    <w:rsid w:val="00417364"/>
    <w:rsid w:val="0043422A"/>
    <w:rsid w:val="0049367C"/>
    <w:rsid w:val="004A4C89"/>
    <w:rsid w:val="004A52C6"/>
    <w:rsid w:val="004F139B"/>
    <w:rsid w:val="004F4DA6"/>
    <w:rsid w:val="004F5729"/>
    <w:rsid w:val="00516070"/>
    <w:rsid w:val="00516369"/>
    <w:rsid w:val="0051749C"/>
    <w:rsid w:val="005309EB"/>
    <w:rsid w:val="00543EA4"/>
    <w:rsid w:val="005729FD"/>
    <w:rsid w:val="00582042"/>
    <w:rsid w:val="005A0A87"/>
    <w:rsid w:val="005A7C32"/>
    <w:rsid w:val="005C25EC"/>
    <w:rsid w:val="005D0CDA"/>
    <w:rsid w:val="005F030B"/>
    <w:rsid w:val="005F0B9F"/>
    <w:rsid w:val="005F229F"/>
    <w:rsid w:val="005F38EB"/>
    <w:rsid w:val="006036F1"/>
    <w:rsid w:val="00617F61"/>
    <w:rsid w:val="006563F5"/>
    <w:rsid w:val="006B0753"/>
    <w:rsid w:val="006E0DAC"/>
    <w:rsid w:val="007074FD"/>
    <w:rsid w:val="00722858"/>
    <w:rsid w:val="00723712"/>
    <w:rsid w:val="00741B42"/>
    <w:rsid w:val="00741C47"/>
    <w:rsid w:val="00774B69"/>
    <w:rsid w:val="007A7E08"/>
    <w:rsid w:val="007C6EA3"/>
    <w:rsid w:val="00813873"/>
    <w:rsid w:val="008238BC"/>
    <w:rsid w:val="0082481E"/>
    <w:rsid w:val="008273A1"/>
    <w:rsid w:val="00832D74"/>
    <w:rsid w:val="008558CC"/>
    <w:rsid w:val="00866B45"/>
    <w:rsid w:val="008713D1"/>
    <w:rsid w:val="00880723"/>
    <w:rsid w:val="0088561D"/>
    <w:rsid w:val="008A338E"/>
    <w:rsid w:val="008A48FB"/>
    <w:rsid w:val="008C4F2F"/>
    <w:rsid w:val="008F16F8"/>
    <w:rsid w:val="008F230D"/>
    <w:rsid w:val="00914462"/>
    <w:rsid w:val="00915974"/>
    <w:rsid w:val="00920505"/>
    <w:rsid w:val="00921614"/>
    <w:rsid w:val="009460A0"/>
    <w:rsid w:val="00953074"/>
    <w:rsid w:val="00964D65"/>
    <w:rsid w:val="009B0950"/>
    <w:rsid w:val="009B36AD"/>
    <w:rsid w:val="009B6816"/>
    <w:rsid w:val="009C2DA3"/>
    <w:rsid w:val="009C44CA"/>
    <w:rsid w:val="009E187B"/>
    <w:rsid w:val="009E7E1E"/>
    <w:rsid w:val="00A0253D"/>
    <w:rsid w:val="00A05FD9"/>
    <w:rsid w:val="00A3289F"/>
    <w:rsid w:val="00A349AD"/>
    <w:rsid w:val="00A4259F"/>
    <w:rsid w:val="00A62AAB"/>
    <w:rsid w:val="00A7267C"/>
    <w:rsid w:val="00A84339"/>
    <w:rsid w:val="00AA6939"/>
    <w:rsid w:val="00AB3B4D"/>
    <w:rsid w:val="00AF721F"/>
    <w:rsid w:val="00B600B5"/>
    <w:rsid w:val="00B9010B"/>
    <w:rsid w:val="00BA3DE4"/>
    <w:rsid w:val="00BC40CD"/>
    <w:rsid w:val="00BD6FF4"/>
    <w:rsid w:val="00C2566D"/>
    <w:rsid w:val="00C46E37"/>
    <w:rsid w:val="00C55D8E"/>
    <w:rsid w:val="00C56432"/>
    <w:rsid w:val="00C60B16"/>
    <w:rsid w:val="00C67B1F"/>
    <w:rsid w:val="00C75BFA"/>
    <w:rsid w:val="00C75F28"/>
    <w:rsid w:val="00C84FDA"/>
    <w:rsid w:val="00C9695A"/>
    <w:rsid w:val="00CA628C"/>
    <w:rsid w:val="00CC387D"/>
    <w:rsid w:val="00CC49FD"/>
    <w:rsid w:val="00CD29F6"/>
    <w:rsid w:val="00CD6EFC"/>
    <w:rsid w:val="00CF44CD"/>
    <w:rsid w:val="00D051BD"/>
    <w:rsid w:val="00D123E5"/>
    <w:rsid w:val="00D16871"/>
    <w:rsid w:val="00D3067C"/>
    <w:rsid w:val="00D32612"/>
    <w:rsid w:val="00D41E22"/>
    <w:rsid w:val="00D44145"/>
    <w:rsid w:val="00D57A25"/>
    <w:rsid w:val="00D674CF"/>
    <w:rsid w:val="00D8554C"/>
    <w:rsid w:val="00D95865"/>
    <w:rsid w:val="00DD1739"/>
    <w:rsid w:val="00DD6757"/>
    <w:rsid w:val="00DE2ABA"/>
    <w:rsid w:val="00DF790B"/>
    <w:rsid w:val="00E5370C"/>
    <w:rsid w:val="00E601D4"/>
    <w:rsid w:val="00EA089B"/>
    <w:rsid w:val="00EA7A97"/>
    <w:rsid w:val="00EB19CD"/>
    <w:rsid w:val="00EE6494"/>
    <w:rsid w:val="00F01DED"/>
    <w:rsid w:val="00F10FBE"/>
    <w:rsid w:val="00F1133D"/>
    <w:rsid w:val="00F21CE3"/>
    <w:rsid w:val="00F63130"/>
    <w:rsid w:val="00F73662"/>
    <w:rsid w:val="00FA09B4"/>
    <w:rsid w:val="00FD4208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861F"/>
  <w15:docId w15:val="{F422DBA9-6D6F-46E5-86FB-C4E888AD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1D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1D4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130"/>
    <w:pPr>
      <w:spacing w:after="0" w:line="240" w:lineRule="auto"/>
    </w:pPr>
  </w:style>
  <w:style w:type="paragraph" w:customStyle="1" w:styleId="Default">
    <w:name w:val="Default"/>
    <w:rsid w:val="00015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6B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912"/>
  </w:style>
  <w:style w:type="paragraph" w:styleId="Footer">
    <w:name w:val="footer"/>
    <w:basedOn w:val="Normal"/>
    <w:link w:val="FooterChar"/>
    <w:uiPriority w:val="99"/>
    <w:unhideWhenUsed/>
    <w:rsid w:val="00413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912"/>
  </w:style>
  <w:style w:type="table" w:styleId="TableGridLight">
    <w:name w:val="Grid Table Light"/>
    <w:basedOn w:val="TableNormal"/>
    <w:uiPriority w:val="40"/>
    <w:rsid w:val="00E601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01D4"/>
    <w:rPr>
      <w:rFonts w:ascii="Arial" w:eastAsiaTheme="majorEastAsia" w:hAnsi="Arial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01D4"/>
    <w:rPr>
      <w:rFonts w:ascii="Arial" w:eastAsiaTheme="majorEastAsia" w:hAnsi="Arial" w:cstheme="majorBidi"/>
      <w:b/>
      <w:sz w:val="24"/>
      <w:szCs w:val="26"/>
    </w:rPr>
  </w:style>
  <w:style w:type="paragraph" w:customStyle="1" w:styleId="space">
    <w:name w:val="space"/>
    <w:basedOn w:val="Normal"/>
    <w:link w:val="spaceChar"/>
    <w:qFormat/>
    <w:rsid w:val="00293880"/>
    <w:pPr>
      <w:tabs>
        <w:tab w:val="right" w:pos="5760"/>
      </w:tabs>
      <w:spacing w:after="0" w:line="240" w:lineRule="auto"/>
      <w:ind w:left="720"/>
    </w:pPr>
    <w:rPr>
      <w:rFonts w:ascii="Arial" w:eastAsia="Times New Roman" w:hAnsi="Arial" w:cs="Arial"/>
    </w:rPr>
  </w:style>
  <w:style w:type="character" w:customStyle="1" w:styleId="spaceChar">
    <w:name w:val="space Char"/>
    <w:basedOn w:val="DefaultParagraphFont"/>
    <w:link w:val="space"/>
    <w:rsid w:val="00293880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1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378">
              <w:marLeft w:val="0"/>
              <w:marRight w:val="0"/>
              <w:marTop w:val="0"/>
              <w:marBottom w:val="0"/>
              <w:divBdr>
                <w:top w:val="single" w:sz="12" w:space="15" w:color="CFCFCF"/>
                <w:left w:val="single" w:sz="12" w:space="15" w:color="CFCFCF"/>
                <w:bottom w:val="single" w:sz="12" w:space="15" w:color="CFCFCF"/>
                <w:right w:val="single" w:sz="12" w:space="15" w:color="CFCFCF"/>
              </w:divBdr>
              <w:divsChild>
                <w:div w:id="9126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7468">
              <w:marLeft w:val="0"/>
              <w:marRight w:val="0"/>
              <w:marTop w:val="0"/>
              <w:marBottom w:val="0"/>
              <w:divBdr>
                <w:top w:val="single" w:sz="12" w:space="15" w:color="CFCFCF"/>
                <w:left w:val="single" w:sz="12" w:space="15" w:color="CFCFCF"/>
                <w:bottom w:val="single" w:sz="12" w:space="15" w:color="CFCFCF"/>
                <w:right w:val="single" w:sz="12" w:space="15" w:color="CFCFCF"/>
              </w:divBdr>
              <w:divsChild>
                <w:div w:id="20881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1B6D-62A6-44AF-B59D-A0DD8F78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State Community College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vowellmp</dc:creator>
  <cp:lastModifiedBy>Vowell, Beth</cp:lastModifiedBy>
  <cp:revision>3</cp:revision>
  <cp:lastPrinted>2017-06-06T19:17:00Z</cp:lastPrinted>
  <dcterms:created xsi:type="dcterms:W3CDTF">2023-09-01T17:18:00Z</dcterms:created>
  <dcterms:modified xsi:type="dcterms:W3CDTF">2026-01-21T19:18:00Z</dcterms:modified>
</cp:coreProperties>
</file>